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67cd781b8c789e3ce5bf2c6a7fba4657c32a6"/>
    <w:p>
      <w:pPr>
        <w:pStyle w:val="Heading3"/>
      </w:pPr>
      <w:r>
        <w:t xml:space="preserve">Сведения о доходах ГКУ ИС района Замоскворечье за 2019 год</w:t>
      </w:r>
    </w:p>
    <w:p>
      <w:pPr>
        <w:pStyle w:val="FirstParagraph"/>
      </w:pPr>
      <w:r>
        <w:t xml:space="preserve">13.05.2020</w:t>
      </w:r>
    </w:p>
    <w:p>
      <w:pPr>
        <w:pStyle w:val="BodyText"/>
      </w:pPr>
      <w:r>
        <w:t xml:space="preserve">Во исполнение п. 6 Распоряжения Префектуры ЦАО №291-р от 26.10. 2018г. </w:t>
      </w:r>
      <w:r>
        <w:rPr>
          <w:bCs/>
          <w:b/>
        </w:rPr>
        <w:t xml:space="preserve">«Об утверждении Порядка размещения информации о рассчитываемой за календарный год среднемесячной заработной плате руководителей, их заместителей и главных бухгалтеров государственных учреждений города Москвы, подведомственных префектуре Центрального административного округа города Москвы», </w:t>
      </w:r>
      <w:r>
        <w:t xml:space="preserve">информация о среднемесячной заработной плате руководителя и главного бухгалтера ГКУ ИС района Замоскворечье за 2019 календарный год:</w:t>
      </w:r>
    </w:p>
    <w:p>
      <w:pPr>
        <w:pStyle w:val="BodyText"/>
      </w:pPr>
      <w:r>
        <w:t xml:space="preserve">- Руководитель 131 983,3 руб.</w:t>
      </w:r>
    </w:p>
    <w:p>
      <w:pPr>
        <w:pStyle w:val="BodyText"/>
      </w:pPr>
      <w:r>
        <w:t xml:space="preserve">- Главный бухгалтер 81 480,6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http://zmsk.mos.ru/anti-corruption/information-on-income-expenses-about-property-and-obligations-of-property-character/detail/8891513.html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anti-corruption/information-on-income-expenses-about-property-and-obligations-of-property-character/detail/8891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anti-corruption/information-on-income-expenses-about-property-and-obligations-of-property-character/detail/8891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2025-08-06T16:55:31Z</dcterms:created>
  <dcterms:modified xsi:type="dcterms:W3CDTF">2025-08-06T16:55:31Z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