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1ad57646709f5bcf68dd3e47147a656b52860"/>
    <w:p>
      <w:pPr>
        <w:pStyle w:val="Heading3"/>
      </w:pPr>
      <w:r>
        <w:t xml:space="preserve">Город выставил на торги 14 торговых объектов в центре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Город выставил на торги 14 передвижных нестационарных торговых объектов в центре Москвы. Принять участие в аукционах могут представители малого и среднего бизнеса. Подать заявку на участие в торгах можно до 15 апреля.</w:t>
      </w:r>
    </w:p>
    <w:p>
      <w:pPr>
        <w:pStyle w:val="BodyText"/>
      </w:pPr>
      <w:r>
        <w:t xml:space="preserve">Данные точки могут быть использованы как кафе и пункты проката спортивного инвентаря, киоски и автоматы, сезонные точки продажи фруктов или елей, а также передвижные тележки с напитками, мороженым и выпечкой.</w:t>
      </w:r>
    </w:p>
    <w:p>
      <w:pPr>
        <w:pStyle w:val="BodyText"/>
      </w:pPr>
      <w:r>
        <w:t xml:space="preserve">Стоит отметить, что в 2021 году с предпринимателями заключили договоры по 517 таким лотам, проинформировали на сайте мэра Москвы.</w:t>
      </w:r>
    </w:p>
    <w:p>
      <w:pPr>
        <w:pStyle w:val="BodyText"/>
      </w:pPr>
      <w:r>
        <w:t xml:space="preserve">Наиболее количество объектов — пять — расположено в Тверском районе, четыре — на Арбате, по одному лоту — в Мещанском, Пресненском, Басманном районах, Якиманке и Замоскворечье. Точки находятся в людных местах, рядом с остановками общественного транспорта и городскими зонами отдыха.</w:t>
      </w:r>
    </w:p>
    <w:p>
      <w:pPr>
        <w:pStyle w:val="BodyText"/>
      </w:pPr>
      <w:r>
        <w:t xml:space="preserve">Торги состоятся 20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http://zmsk.mos.ru/presscenter/news/detail/10723352.html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723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723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2025-08-06T17:56:11Z</dcterms:created>
  <dcterms:modified xsi:type="dcterms:W3CDTF">2025-08-06T17:56:11Z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