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67b6d753778422650f48f8cbe36391cb17c8b"/>
    <w:p>
      <w:pPr>
        <w:pStyle w:val="Heading3"/>
      </w:pPr>
      <w:r>
        <w:t xml:space="preserve">Велопатруль выявил 21 случай нарушения правил парковки в районе Бульварного кольца</w:t>
      </w:r>
    </w:p>
    <w:p>
      <w:pPr>
        <w:pStyle w:val="FirstParagraph"/>
      </w:pPr>
      <w:r>
        <w:t xml:space="preserve">05.07.2018</w:t>
      </w:r>
    </w:p>
    <w:p>
      <w:pPr>
        <w:pStyle w:val="BodyText"/>
      </w:pPr>
      <w:r>
        <w:t xml:space="preserve">С 25 июня по 4 июля представители велопатруля Центра организации дорожного движения выявили 21 случай нарушения правил парковки. Автомобилисты оставили свои машины под запрещающими знаками.</w:t>
      </w:r>
    </w:p>
    <w:p>
      <w:pPr>
        <w:pStyle w:val="BodyText"/>
      </w:pPr>
      <w:r>
        <w:t xml:space="preserve">— Несколько нарушителей покинули велодорожку после беседы с инспектором. Кстати, патруль ведет активную работу: за неделю был оформлен один европротокол, пострадавшие в трех дорожно-транспортных происшествиях получили консультации и одному автомобилисту помогли заменить колесо, —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Отметим, что служба начала работать в тестовом режиме с 25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http://zmsk.mos.ru/presscenter/news/detail/7432718.html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7432718.html" TargetMode="External" /><Relationship Type="http://schemas.openxmlformats.org/officeDocument/2006/relationships/hyperlink" Id="rId20" Target="https://www.mskagency.ru/materials/27961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7432718.html" TargetMode="External" /><Relationship Type="http://schemas.openxmlformats.org/officeDocument/2006/relationships/hyperlink" Id="rId20" Target="https://www.mskagency.ru/materials/27961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2024-12-19T23:21:30Z</dcterms:created>
  <dcterms:modified xsi:type="dcterms:W3CDTF">2024-12-19T23:21:30Z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